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C5F2" w14:textId="77777777" w:rsidR="0097363E" w:rsidRDefault="0097363E" w:rsidP="0097363E">
      <w:pPr>
        <w:jc w:val="center"/>
      </w:pPr>
    </w:p>
    <w:p w14:paraId="369AEA79" w14:textId="77777777" w:rsidR="0097363E" w:rsidRDefault="0097363E" w:rsidP="0097363E">
      <w:pPr>
        <w:jc w:val="center"/>
      </w:pPr>
    </w:p>
    <w:p w14:paraId="648DBBB5" w14:textId="0AD0B7EB" w:rsidR="0097363E" w:rsidRDefault="0097363E" w:rsidP="0097363E">
      <w:pPr>
        <w:jc w:val="center"/>
      </w:pPr>
    </w:p>
    <w:p w14:paraId="042C6CAB" w14:textId="77777777" w:rsidR="0097363E" w:rsidRDefault="0097363E" w:rsidP="0097363E">
      <w:pPr>
        <w:jc w:val="center"/>
      </w:pPr>
    </w:p>
    <w:p w14:paraId="07A1AB18" w14:textId="77777777" w:rsidR="0097363E" w:rsidRDefault="0097363E" w:rsidP="0097363E">
      <w:pPr>
        <w:jc w:val="center"/>
      </w:pPr>
    </w:p>
    <w:p w14:paraId="4F08C900" w14:textId="2C6707C4" w:rsidR="00690556" w:rsidRDefault="004A7382" w:rsidP="0097363E">
      <w:pPr>
        <w:jc w:val="center"/>
      </w:pPr>
      <w:r>
        <w:t>Civil Case Study</w:t>
      </w:r>
      <w:r w:rsidR="00F25681">
        <w:t>: Paula Plaintiff</w:t>
      </w:r>
    </w:p>
    <w:p w14:paraId="39AAD840" w14:textId="77777777" w:rsidR="00690556" w:rsidRDefault="004A7382" w:rsidP="0097363E">
      <w:pPr>
        <w:jc w:val="center"/>
      </w:pPr>
      <w:r>
        <w:t>Student’s Name</w:t>
      </w:r>
    </w:p>
    <w:p w14:paraId="1C43A5B3" w14:textId="77777777" w:rsidR="00690556" w:rsidRDefault="004A7382" w:rsidP="0097363E">
      <w:pPr>
        <w:jc w:val="center"/>
      </w:pPr>
      <w:r>
        <w:t>Institution of Affiliation</w:t>
      </w:r>
      <w:r w:rsidR="00690556">
        <w:t>s</w:t>
      </w:r>
    </w:p>
    <w:p w14:paraId="6498434A" w14:textId="77777777" w:rsidR="0097363E" w:rsidRDefault="0097363E" w:rsidP="0097363E">
      <w:pPr>
        <w:jc w:val="center"/>
        <w:rPr>
          <w:bCs/>
        </w:rPr>
      </w:pPr>
      <w:r>
        <w:rPr>
          <w:bCs/>
        </w:rPr>
        <w:br w:type="page"/>
      </w:r>
    </w:p>
    <w:p w14:paraId="4F34CEF4" w14:textId="50D05D4D" w:rsidR="00690556" w:rsidRDefault="004A7382" w:rsidP="0097363E">
      <w:pPr>
        <w:jc w:val="center"/>
        <w:rPr>
          <w:bCs/>
        </w:rPr>
      </w:pPr>
      <w:r w:rsidRPr="00690556">
        <w:rPr>
          <w:bCs/>
        </w:rPr>
        <w:lastRenderedPageBreak/>
        <w:t>Civil Case Study</w:t>
      </w:r>
      <w:r w:rsidR="00F25681">
        <w:rPr>
          <w:bCs/>
        </w:rPr>
        <w:t>: Paula Plaintiff</w:t>
      </w:r>
    </w:p>
    <w:p w14:paraId="1E8E3595" w14:textId="77777777" w:rsidR="00690556" w:rsidRDefault="004A7382" w:rsidP="0097363E">
      <w:pPr>
        <w:ind w:firstLine="720"/>
      </w:pPr>
      <w:r>
        <w:t xml:space="preserve">Paula can make several </w:t>
      </w:r>
      <w:r>
        <w:t>tort</w:t>
      </w:r>
      <w:r>
        <w:t xml:space="preserve"> claims against Cash Mart and Geoffrey. Fundamentally, a tort claim refers to any </w:t>
      </w:r>
      <w:r w:rsidR="00814CB8">
        <w:t>action that is classified as a civil wrong because it resulted in injuries or harm for a subject who is affected by the action (Wolf &amp; Pravato, n.d.). Therefore, the tort claims to be made by Paula against Cash Mart and Geoffrey will only stand if the harm that she suffers as a result of their actions meets specific criteria that qualify the actions as civil wrongs. In this particular insta</w:t>
      </w:r>
      <w:r w:rsidR="003F719F">
        <w:t>nce, Paula can claim that Cash Mart and Geoffrey committed intentional torts and negligence. By definition, intentional torts include actions that are deliberate and result in the harm of another party (Wolf &amp; Pravato, n.d.). Although some forms of intentional torts can be criminal, it also includes civil assault, battery, false imprisonment, intentional infliction of emotional harm, conversion and defamation among others (</w:t>
      </w:r>
      <w:r w:rsidR="0074214A">
        <w:t>Pogue, Clifford &amp; Schwartz</w:t>
      </w:r>
      <w:r w:rsidR="003C3263">
        <w:t>, 2009).</w:t>
      </w:r>
    </w:p>
    <w:p w14:paraId="69AC67A4" w14:textId="28014A6E" w:rsidR="00690556" w:rsidRDefault="004A7382" w:rsidP="0097363E">
      <w:pPr>
        <w:ind w:firstLine="720"/>
      </w:pPr>
      <w:r>
        <w:t>Paula can claim that that Cash Mart’s guard committed vario</w:t>
      </w:r>
      <w:r>
        <w:t>us intentional torts. The first of these is civil assault, which includes deliberate actions that result in significant fear whether there was aggressive contact or not (Pogue et al</w:t>
      </w:r>
      <w:r w:rsidR="00E62ADE">
        <w:t>.</w:t>
      </w:r>
      <w:r>
        <w:t>, 2009). The guard intentionally scared Paula by threatening that she would</w:t>
      </w:r>
      <w:r>
        <w:t xml:space="preserve"> be arrested and taken to jail if she left the room in which he had confined her. The guard also intentionally inflicted emotional distress because he threatened her, which resulted in Paula fearing for her safety. Also, the guard committed false imprisonm</w:t>
      </w:r>
      <w:r>
        <w:t>ent, which entails unreasonable and deliberate detention without one’s consent and the absence of a means of escape (Pogue et al</w:t>
      </w:r>
      <w:r w:rsidR="00E62ADE">
        <w:t>.</w:t>
      </w:r>
      <w:r>
        <w:t xml:space="preserve">, 2009). The Cash Mart guard deliberately confined Paula in the room for an unreasonable duration of over one hour simply based </w:t>
      </w:r>
      <w:r>
        <w:t>on his suspicion that Paula has shoplifted without attaining Paula’s consent.</w:t>
      </w:r>
    </w:p>
    <w:p w14:paraId="5C1FFD8B" w14:textId="5A453FEB" w:rsidR="00690556" w:rsidRDefault="004A7382" w:rsidP="0097363E">
      <w:pPr>
        <w:ind w:firstLine="720"/>
      </w:pPr>
      <w:r>
        <w:lastRenderedPageBreak/>
        <w:t>Paula can also claim that both Geoffrey and Cash Mart comm</w:t>
      </w:r>
      <w:r w:rsidR="003C1173">
        <w:t>itted negligence. Negligence can be determined using</w:t>
      </w:r>
      <w:r>
        <w:t xml:space="preserve"> four main elements, which are duty, breach, causation, and harm (</w:t>
      </w:r>
      <w:r>
        <w:t>Pogue et al</w:t>
      </w:r>
      <w:r w:rsidR="00E62ADE">
        <w:t>.</w:t>
      </w:r>
      <w:r>
        <w:t xml:space="preserve">, 2009). </w:t>
      </w:r>
      <w:r w:rsidR="003C1173">
        <w:t>Duty refers to the requirement of not doing an action that exposes or harms another individual (Pogue et al</w:t>
      </w:r>
      <w:r w:rsidR="00E62ADE">
        <w:t>.</w:t>
      </w:r>
      <w:r w:rsidR="003C1173">
        <w:t xml:space="preserve">, 2009). </w:t>
      </w:r>
      <w:r w:rsidR="00E62ADE">
        <w:t>On the other hand, breach</w:t>
      </w:r>
      <w:r w:rsidR="003C1173">
        <w:t xml:space="preserve"> refers to the “failure to exercise ordinary care</w:t>
      </w:r>
      <w:r w:rsidR="00E62ADE">
        <w:t>,”</w:t>
      </w:r>
      <w:r w:rsidR="003C1173">
        <w:t xml:space="preserve"> which implies a failure to be careful enough to avoid harming another party through one’s actions (Geistfeld, 2011). Negligent causation can be classified into actual cause and proximate cause, with actual cause implying that were it not for the careless action of one party, another party would not have experienced any harm or injuries (Pogue et al</w:t>
      </w:r>
      <w:r w:rsidR="00E62ADE">
        <w:t>.</w:t>
      </w:r>
      <w:r w:rsidR="003C1173">
        <w:t xml:space="preserve">, 2009). Proximate cause, however, occurs when the harm experienced by the affected party results from a direct consequence of the </w:t>
      </w:r>
      <w:r w:rsidR="00695D77">
        <w:t>doer</w:t>
      </w:r>
      <w:r w:rsidR="00E62ADE">
        <w:t>’</w:t>
      </w:r>
      <w:r w:rsidR="00695D77">
        <w:t>s actions (Pogue et al</w:t>
      </w:r>
      <w:r w:rsidR="00E62ADE">
        <w:t>.</w:t>
      </w:r>
      <w:r w:rsidR="00695D77">
        <w:t>, 2009). Harm can be of different types, which can be categorized into economic such as financial loss, or non-economic</w:t>
      </w:r>
      <w:r w:rsidR="00E62ADE">
        <w:t>,</w:t>
      </w:r>
      <w:r w:rsidR="00695D77">
        <w:t xml:space="preserve"> such as pain or emotional suffering (Pogue et al</w:t>
      </w:r>
      <w:r w:rsidR="00E62ADE">
        <w:t>.</w:t>
      </w:r>
      <w:r w:rsidR="00695D77">
        <w:t>, 2009).</w:t>
      </w:r>
    </w:p>
    <w:p w14:paraId="2E073F26" w14:textId="58574C73" w:rsidR="00690556" w:rsidRDefault="004A7382" w:rsidP="0097363E">
      <w:pPr>
        <w:ind w:firstLine="720"/>
      </w:pPr>
      <w:r>
        <w:t xml:space="preserve">Consequently, </w:t>
      </w:r>
      <w:r w:rsidR="001713C4">
        <w:t>Paula can claim that Geoffrey was negligent by first establishing that Geoffrey had an obligation to be careful when hitting the golf ball to ensure that it did not go beyond the boundaries of his backyard as this could cause harm. However, Geoffrey did not exercise this caution, and was it not for his carelessness; the golf ball would not have hit Paula because it would not have gone beyond his backyard. This implies actual causation, and we can also identify that Geoffrey</w:t>
      </w:r>
      <w:r w:rsidR="00E62ADE">
        <w:t>’</w:t>
      </w:r>
      <w:r w:rsidR="001713C4">
        <w:t xml:space="preserve">s action of carelessly hitting the ball was a proximate cause of Paula getting hit since it directly resulted in the ball entering the Cash Mart parking lot and harming Paula. Subsequently, Paula suffered physical pain from being hit on her head </w:t>
      </w:r>
      <w:r>
        <w:t xml:space="preserve">as well as any distress that resulted from her being unconscious. If she had to pay for any medical attention, this would also be classified as economic </w:t>
      </w:r>
      <w:r>
        <w:t>harm.</w:t>
      </w:r>
    </w:p>
    <w:p w14:paraId="7351091E" w14:textId="5F537102" w:rsidR="00690556" w:rsidRDefault="004A7382" w:rsidP="0097363E">
      <w:pPr>
        <w:ind w:firstLine="720"/>
      </w:pPr>
      <w:r>
        <w:lastRenderedPageBreak/>
        <w:t xml:space="preserve">Similarly, Cash Mart’s guard had an obligation to not threaten Paula and only detain her after obtaining her consent and informing her of why she was being detained for the amount of time that she was detained. However, this was breached because not </w:t>
      </w:r>
      <w:r>
        <w:t xml:space="preserve">only did the guard threaten Paula, he also locked her in a room without obtaining her consent. Consequently, Paula was scared, and this would not have happened if the guard had not breached his obligations. Furthermore, Paula’s fear directly resulted from </w:t>
      </w:r>
      <w:r>
        <w:t>the guard’s threats to arrest and imprison her if she tried to escape</w:t>
      </w:r>
      <w:r>
        <w:t xml:space="preserve"> and being locked in a room for an unreasonable </w:t>
      </w:r>
      <w:r w:rsidR="00E62ADE">
        <w:t>number</w:t>
      </w:r>
      <w:r>
        <w:t xml:space="preserve"> of hours without being attended to. Consequently, Paula suffered emotional distress due to the guard’s actions, and her time was</w:t>
      </w:r>
      <w:r w:rsidR="00A339C8">
        <w:t xml:space="preserve"> wasted when she was locked up. Cash Mart</w:t>
      </w:r>
      <w:r w:rsidR="00E62ADE">
        <w:t>’</w:t>
      </w:r>
      <w:r w:rsidR="00A339C8">
        <w:t>s management should also have been involved early enough because they have to ensure that their clients are not mistreated but breached this obligation by getting involved after she was locked for over an hour. Consequently, Paula can claim that the company</w:t>
      </w:r>
      <w:r w:rsidR="00E62ADE">
        <w:t>’</w:t>
      </w:r>
      <w:r w:rsidR="00A339C8">
        <w:t>s guard and management were negligent.</w:t>
      </w:r>
    </w:p>
    <w:p w14:paraId="6014EBF3" w14:textId="1F03808B" w:rsidR="00690556" w:rsidRDefault="004A7382" w:rsidP="0097363E">
      <w:pPr>
        <w:ind w:firstLine="720"/>
      </w:pPr>
      <w:r>
        <w:t>Paula should file her negligence claim against Geoffrey in a civil court. This is because Geoffrey committed a civil offense by hitting her. Essentially, a civil offense entai</w:t>
      </w:r>
      <w:r>
        <w:t>ls one party neglecting its legal duties owed to the affected party, which Geoffrey committed by neglecting his obligation to ensure that he does not harm anyone by hitting his golf balls (</w:t>
      </w:r>
      <w:r w:rsidR="002556BB">
        <w:t>Findlaw, 2020). A criminal court, on the other hand, handles criminal offenses, which are offenses that cross certain criminal statutes set by the state or federal government, and are therefore considered as offenses against the community (Findlaw, 2020). Criminal courts also allow one to be tried by a jury, and the punishments awarded are more severe such as imprisonment or even death sentences (Findlaw, 2020). Conversely, civil courts only punish through fines, monetary compensations, and injunctions (Findlaw, 2020). Furthermore, defendants in civil court cases are not awarded the right to an attorney</w:t>
      </w:r>
      <w:r w:rsidR="00E62ADE">
        <w:t>,</w:t>
      </w:r>
      <w:r w:rsidR="002556BB">
        <w:t xml:space="preserve"> while in criminal cases, one has to have an attorney present (Findlaw, 2020).</w:t>
      </w:r>
    </w:p>
    <w:p w14:paraId="6CC75AB9" w14:textId="77777777" w:rsidR="00690556" w:rsidRDefault="004A7382" w:rsidP="0097363E">
      <w:pPr>
        <w:jc w:val="center"/>
        <w:rPr>
          <w:bCs/>
        </w:rPr>
      </w:pPr>
      <w:r w:rsidRPr="00690556">
        <w:rPr>
          <w:bCs/>
        </w:rPr>
        <w:lastRenderedPageBreak/>
        <w:t>References</w:t>
      </w:r>
    </w:p>
    <w:p w14:paraId="7F070E0D" w14:textId="77777777" w:rsidR="00690556" w:rsidRDefault="00690556" w:rsidP="0097363E">
      <w:pPr>
        <w:ind w:left="720" w:hanging="720"/>
        <w:rPr>
          <w:rFonts w:cs="Times New Roman"/>
          <w:szCs w:val="24"/>
          <w:shd w:val="clear" w:color="auto" w:fill="FFFFFF"/>
        </w:rPr>
      </w:pPr>
      <w:r w:rsidRPr="00FC377A">
        <w:rPr>
          <w:rFonts w:cs="Times New Roman"/>
          <w:color w:val="222222"/>
          <w:szCs w:val="24"/>
          <w:shd w:val="clear" w:color="auto" w:fill="FFFFFF"/>
        </w:rPr>
        <w:t>Findlaw. (2020). The Differences Between a Criminal Case and a Civil Case.</w:t>
      </w:r>
      <w:r>
        <w:rPr>
          <w:rFonts w:cs="Times New Roman"/>
          <w:color w:val="222222"/>
          <w:szCs w:val="24"/>
          <w:shd w:val="clear" w:color="auto" w:fill="FFFFFF"/>
        </w:rPr>
        <w:t xml:space="preserve"> </w:t>
      </w:r>
      <w:hyperlink r:id="rId6" w:history="1">
        <w:r w:rsidRPr="00810274">
          <w:rPr>
            <w:rStyle w:val="Hyperlink"/>
            <w:rFonts w:cs="Times New Roman"/>
            <w:szCs w:val="24"/>
            <w:shd w:val="clear" w:color="auto" w:fill="FFFFFF"/>
          </w:rPr>
          <w:t>https://www.findlaw.com/criminal/criminal-law-basics/the-differences-between-a-criminal-case-and-a-civil-case.html#:~:text=Crimes%20are%20generally%20offenses%20against,they%20owe%20to%20one%20another</w:t>
        </w:r>
      </w:hyperlink>
    </w:p>
    <w:p w14:paraId="4CB2F3CB" w14:textId="77777777" w:rsidR="00690556" w:rsidRDefault="00690556" w:rsidP="0097363E">
      <w:pPr>
        <w:ind w:left="720" w:hanging="720"/>
        <w:rPr>
          <w:rFonts w:cs="Times New Roman"/>
          <w:color w:val="222222"/>
          <w:szCs w:val="24"/>
          <w:shd w:val="clear" w:color="auto" w:fill="FFFFFF"/>
        </w:rPr>
      </w:pPr>
      <w:r w:rsidRPr="00FC377A">
        <w:rPr>
          <w:rFonts w:cs="Times New Roman"/>
          <w:color w:val="222222"/>
          <w:szCs w:val="24"/>
          <w:shd w:val="clear" w:color="auto" w:fill="FFFFFF"/>
        </w:rPr>
        <w:t>Geistfeld, M. A. (2011). The Principle of Misalignment: Dutgy, Damages, and the Nature of Tort Liability. </w:t>
      </w:r>
      <w:r w:rsidRPr="00FC377A">
        <w:rPr>
          <w:rFonts w:cs="Times New Roman"/>
          <w:i/>
          <w:iCs/>
          <w:color w:val="222222"/>
          <w:szCs w:val="24"/>
          <w:shd w:val="clear" w:color="auto" w:fill="FFFFFF"/>
        </w:rPr>
        <w:t>Yale L</w:t>
      </w:r>
      <w:r>
        <w:rPr>
          <w:rFonts w:cs="Times New Roman"/>
          <w:i/>
          <w:iCs/>
          <w:color w:val="222222"/>
          <w:szCs w:val="24"/>
          <w:shd w:val="clear" w:color="auto" w:fill="FFFFFF"/>
        </w:rPr>
        <w:t>aw Journal</w:t>
      </w:r>
      <w:r w:rsidRPr="00FC377A">
        <w:rPr>
          <w:rFonts w:cs="Times New Roman"/>
          <w:color w:val="222222"/>
          <w:szCs w:val="24"/>
          <w:shd w:val="clear" w:color="auto" w:fill="FFFFFF"/>
        </w:rPr>
        <w:t>,</w:t>
      </w:r>
      <w:r>
        <w:rPr>
          <w:rFonts w:cs="Times New Roman"/>
          <w:color w:val="222222"/>
          <w:szCs w:val="24"/>
          <w:shd w:val="clear" w:color="auto" w:fill="FFFFFF"/>
        </w:rPr>
        <w:t xml:space="preserve"> </w:t>
      </w:r>
      <w:r w:rsidRPr="00FC377A">
        <w:rPr>
          <w:rFonts w:cs="Times New Roman"/>
          <w:i/>
          <w:iCs/>
          <w:color w:val="222222"/>
          <w:szCs w:val="24"/>
          <w:shd w:val="clear" w:color="auto" w:fill="FFFFFF"/>
        </w:rPr>
        <w:t>121</w:t>
      </w:r>
      <w:r w:rsidRPr="00FC377A">
        <w:rPr>
          <w:rFonts w:cs="Times New Roman"/>
          <w:color w:val="222222"/>
          <w:szCs w:val="24"/>
          <w:shd w:val="clear" w:color="auto" w:fill="FFFFFF"/>
        </w:rPr>
        <w:t>, 142.</w:t>
      </w:r>
    </w:p>
    <w:p w14:paraId="083FA251" w14:textId="77777777" w:rsidR="00690556" w:rsidRDefault="00690556" w:rsidP="0097363E">
      <w:pPr>
        <w:ind w:left="720" w:hanging="720"/>
        <w:rPr>
          <w:rFonts w:cs="Times New Roman"/>
          <w:szCs w:val="24"/>
        </w:rPr>
      </w:pPr>
      <w:r w:rsidRPr="00FC377A">
        <w:rPr>
          <w:rFonts w:cs="Times New Roman"/>
          <w:szCs w:val="24"/>
        </w:rPr>
        <w:t xml:space="preserve">Pogue, D. L., Clifford, E., &amp; Schwartz, A. L. (2009). </w:t>
      </w:r>
      <w:r w:rsidRPr="00727698">
        <w:rPr>
          <w:rFonts w:cs="Times New Roman"/>
          <w:i/>
          <w:szCs w:val="24"/>
        </w:rPr>
        <w:t>Understanding New York Law, 2013-14</w:t>
      </w:r>
      <w:r w:rsidRPr="00FC377A">
        <w:rPr>
          <w:rFonts w:cs="Times New Roman"/>
          <w:szCs w:val="24"/>
        </w:rPr>
        <w:t>. Upstate Legal Publishers</w:t>
      </w:r>
      <w:r>
        <w:rPr>
          <w:rFonts w:cs="Times New Roman"/>
          <w:szCs w:val="24"/>
        </w:rPr>
        <w:t>.</w:t>
      </w:r>
    </w:p>
    <w:p w14:paraId="0C42C2AA" w14:textId="77777777" w:rsidR="00690556" w:rsidRPr="00FC377A" w:rsidRDefault="00690556" w:rsidP="0097363E">
      <w:pPr>
        <w:ind w:left="720" w:hanging="720"/>
        <w:rPr>
          <w:rFonts w:cs="Times New Roman"/>
          <w:szCs w:val="24"/>
        </w:rPr>
      </w:pPr>
      <w:r w:rsidRPr="00FC377A">
        <w:rPr>
          <w:rFonts w:cs="Times New Roman"/>
          <w:szCs w:val="24"/>
        </w:rPr>
        <w:t>Wolf &amp; Pravato. (n.d.). What is a Tort Claim?</w:t>
      </w:r>
      <w:r>
        <w:rPr>
          <w:rFonts w:cs="Times New Roman"/>
          <w:szCs w:val="24"/>
        </w:rPr>
        <w:t xml:space="preserve"> </w:t>
      </w:r>
      <w:hyperlink r:id="rId7" w:history="1">
        <w:r w:rsidRPr="00810274">
          <w:rPr>
            <w:rStyle w:val="Hyperlink"/>
            <w:rFonts w:cs="Times New Roman"/>
            <w:szCs w:val="24"/>
          </w:rPr>
          <w:t>https://wolfandpravato.com/what-is-a-tort-claim/</w:t>
        </w:r>
      </w:hyperlink>
    </w:p>
    <w:sectPr w:rsidR="00690556" w:rsidRPr="00FC377A" w:rsidSect="0072769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F140" w14:textId="77777777" w:rsidR="004A7382" w:rsidRDefault="004A7382">
      <w:pPr>
        <w:spacing w:after="0" w:line="240" w:lineRule="auto"/>
      </w:pPr>
      <w:r>
        <w:separator/>
      </w:r>
    </w:p>
  </w:endnote>
  <w:endnote w:type="continuationSeparator" w:id="0">
    <w:p w14:paraId="2CD4A70E" w14:textId="77777777" w:rsidR="004A7382" w:rsidRDefault="004A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F217" w14:textId="77777777" w:rsidR="004A7382" w:rsidRDefault="004A7382">
      <w:pPr>
        <w:spacing w:after="0" w:line="240" w:lineRule="auto"/>
      </w:pPr>
      <w:r>
        <w:separator/>
      </w:r>
    </w:p>
  </w:footnote>
  <w:footnote w:type="continuationSeparator" w:id="0">
    <w:p w14:paraId="7A4D5CA6" w14:textId="77777777" w:rsidR="004A7382" w:rsidRDefault="004A7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75630671"/>
      <w:docPartObj>
        <w:docPartGallery w:val="Page Numbers (Top of Page)"/>
        <w:docPartUnique/>
      </w:docPartObj>
    </w:sdtPr>
    <w:sdtEndPr>
      <w:rPr>
        <w:noProof/>
      </w:rPr>
    </w:sdtEndPr>
    <w:sdtContent>
      <w:p w14:paraId="3C7103BC" w14:textId="7FA2799E" w:rsidR="00727698" w:rsidRPr="00584F17" w:rsidRDefault="004A7382" w:rsidP="00584F17">
        <w:pPr>
          <w:pStyle w:val="Header"/>
          <w:jc w:val="right"/>
          <w:rPr>
            <w:sz w:val="22"/>
          </w:rPr>
        </w:pPr>
        <w:r w:rsidRPr="00584F17">
          <w:rPr>
            <w:sz w:val="22"/>
          </w:rPr>
          <w:t>CIVIL CASE STUDY</w:t>
        </w:r>
        <w:r w:rsidR="00F25681">
          <w:rPr>
            <w:sz w:val="22"/>
          </w:rPr>
          <w:t>: PAULA PLAINTIFF</w:t>
        </w:r>
        <w:r w:rsidR="00584F17">
          <w:rPr>
            <w:sz w:val="22"/>
          </w:rPr>
          <w:tab/>
        </w:r>
        <w:r w:rsidR="00584F17">
          <w:rPr>
            <w:sz w:val="22"/>
          </w:rPr>
          <w:tab/>
        </w:r>
        <w:r w:rsidRPr="00584F17">
          <w:rPr>
            <w:sz w:val="22"/>
          </w:rPr>
          <w:fldChar w:fldCharType="begin"/>
        </w:r>
        <w:r w:rsidRPr="00584F17">
          <w:rPr>
            <w:sz w:val="22"/>
          </w:rPr>
          <w:instrText xml:space="preserve"> PAGE   \* MERGEFORMAT </w:instrText>
        </w:r>
        <w:r w:rsidRPr="00584F17">
          <w:rPr>
            <w:sz w:val="22"/>
          </w:rPr>
          <w:fldChar w:fldCharType="separate"/>
        </w:r>
        <w:r w:rsidR="0074214A" w:rsidRPr="00584F17">
          <w:rPr>
            <w:noProof/>
            <w:sz w:val="22"/>
          </w:rPr>
          <w:t>2</w:t>
        </w:r>
        <w:r w:rsidRPr="00584F17">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2172" w14:textId="1B3EDEF3" w:rsidR="00727698" w:rsidRPr="00584F17" w:rsidRDefault="004A7382" w:rsidP="00584F17">
    <w:pPr>
      <w:pStyle w:val="Header"/>
      <w:jc w:val="right"/>
      <w:rPr>
        <w:sz w:val="22"/>
      </w:rPr>
    </w:pPr>
    <w:r w:rsidRPr="00584F17">
      <w:rPr>
        <w:sz w:val="22"/>
      </w:rPr>
      <w:t xml:space="preserve">Running Head: </w:t>
    </w:r>
    <w:r w:rsidRPr="00584F17">
      <w:rPr>
        <w:sz w:val="22"/>
      </w:rPr>
      <w:t>CIVIL CASE STUDY</w:t>
    </w:r>
    <w:r w:rsidR="00F25681">
      <w:rPr>
        <w:sz w:val="22"/>
      </w:rPr>
      <w:t>: PAULA PLAINTIFF</w:t>
    </w:r>
    <w:r w:rsidRPr="00584F17">
      <w:rPr>
        <w:sz w:val="22"/>
      </w:rPr>
      <w:tab/>
    </w:r>
    <w:sdt>
      <w:sdtPr>
        <w:rPr>
          <w:sz w:val="22"/>
        </w:rPr>
        <w:id w:val="559600344"/>
        <w:docPartObj>
          <w:docPartGallery w:val="Page Numbers (Top of Page)"/>
          <w:docPartUnique/>
        </w:docPartObj>
      </w:sdtPr>
      <w:sdtEndPr>
        <w:rPr>
          <w:noProof/>
        </w:rPr>
      </w:sdtEndPr>
      <w:sdtContent>
        <w:r w:rsidRPr="00584F17">
          <w:rPr>
            <w:sz w:val="22"/>
          </w:rPr>
          <w:fldChar w:fldCharType="begin"/>
        </w:r>
        <w:r w:rsidRPr="00584F17">
          <w:rPr>
            <w:sz w:val="22"/>
          </w:rPr>
          <w:instrText xml:space="preserve"> PAGE   \* MERGEFORMAT </w:instrText>
        </w:r>
        <w:r w:rsidRPr="00584F17">
          <w:rPr>
            <w:sz w:val="22"/>
          </w:rPr>
          <w:fldChar w:fldCharType="separate"/>
        </w:r>
        <w:r w:rsidRPr="00584F17">
          <w:rPr>
            <w:noProof/>
            <w:sz w:val="22"/>
          </w:rPr>
          <w:t>1</w:t>
        </w:r>
        <w:r w:rsidRPr="00584F17">
          <w:rPr>
            <w:noProof/>
            <w:sz w:val="22"/>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MzczsbQ0ALINTZR0lIJTi4sz8/NACgxrAW/tJtIsAAAA"/>
  </w:docVars>
  <w:rsids>
    <w:rsidRoot w:val="009A19C8"/>
    <w:rsid w:val="0002013D"/>
    <w:rsid w:val="000F26A5"/>
    <w:rsid w:val="001713C4"/>
    <w:rsid w:val="0019680B"/>
    <w:rsid w:val="001B73EE"/>
    <w:rsid w:val="001C1460"/>
    <w:rsid w:val="002556BB"/>
    <w:rsid w:val="00270BF0"/>
    <w:rsid w:val="002B5E8A"/>
    <w:rsid w:val="002C760C"/>
    <w:rsid w:val="002F0481"/>
    <w:rsid w:val="0031113A"/>
    <w:rsid w:val="0037701B"/>
    <w:rsid w:val="003C1173"/>
    <w:rsid w:val="003C3263"/>
    <w:rsid w:val="003F719F"/>
    <w:rsid w:val="003F7C20"/>
    <w:rsid w:val="00413106"/>
    <w:rsid w:val="004A7382"/>
    <w:rsid w:val="00510112"/>
    <w:rsid w:val="00524244"/>
    <w:rsid w:val="00536AC4"/>
    <w:rsid w:val="00584F17"/>
    <w:rsid w:val="005C068A"/>
    <w:rsid w:val="006152DA"/>
    <w:rsid w:val="00690556"/>
    <w:rsid w:val="00695D77"/>
    <w:rsid w:val="00727698"/>
    <w:rsid w:val="0074214A"/>
    <w:rsid w:val="00814CB8"/>
    <w:rsid w:val="008411BA"/>
    <w:rsid w:val="0086540C"/>
    <w:rsid w:val="008D7836"/>
    <w:rsid w:val="00926814"/>
    <w:rsid w:val="0093264E"/>
    <w:rsid w:val="009353A4"/>
    <w:rsid w:val="0097363E"/>
    <w:rsid w:val="009A0643"/>
    <w:rsid w:val="009A19C8"/>
    <w:rsid w:val="00A21FAD"/>
    <w:rsid w:val="00A339C8"/>
    <w:rsid w:val="00A64F42"/>
    <w:rsid w:val="00AB251A"/>
    <w:rsid w:val="00C75C8B"/>
    <w:rsid w:val="00E02879"/>
    <w:rsid w:val="00E33CAF"/>
    <w:rsid w:val="00E62ADE"/>
    <w:rsid w:val="00EE7B85"/>
    <w:rsid w:val="00F05090"/>
    <w:rsid w:val="00F25681"/>
    <w:rsid w:val="00FB1AAE"/>
    <w:rsid w:val="00FC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CF1E"/>
  <w15:docId w15:val="{68D53689-7DE1-41F2-A4D1-EAF0D9F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C20"/>
    <w:rPr>
      <w:color w:val="0000FF"/>
      <w:u w:val="single"/>
    </w:rPr>
  </w:style>
  <w:style w:type="paragraph" w:styleId="Header">
    <w:name w:val="header"/>
    <w:basedOn w:val="Normal"/>
    <w:link w:val="HeaderChar"/>
    <w:uiPriority w:val="99"/>
    <w:unhideWhenUsed/>
    <w:rsid w:val="00727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698"/>
    <w:rPr>
      <w:rFonts w:ascii="Times New Roman" w:hAnsi="Times New Roman"/>
      <w:sz w:val="24"/>
    </w:rPr>
  </w:style>
  <w:style w:type="paragraph" w:styleId="Footer">
    <w:name w:val="footer"/>
    <w:basedOn w:val="Normal"/>
    <w:link w:val="FooterChar"/>
    <w:uiPriority w:val="99"/>
    <w:unhideWhenUsed/>
    <w:rsid w:val="00727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698"/>
    <w:rPr>
      <w:rFonts w:ascii="Times New Roman" w:hAnsi="Times New Roman"/>
      <w:sz w:val="24"/>
    </w:rPr>
  </w:style>
  <w:style w:type="character" w:styleId="UnresolvedMention">
    <w:name w:val="Unresolved Mention"/>
    <w:basedOn w:val="DefaultParagraphFont"/>
    <w:uiPriority w:val="99"/>
    <w:semiHidden/>
    <w:unhideWhenUsed/>
    <w:rsid w:val="00E0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olfandpravato.com/what-is-a-tort-cla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dlaw.com/criminal/criminal-law-basics/the-differences-between-a-criminal-case-and-a-civil-case.html#:~:text=Crimes%20are%20generally%20offenses%20against,they%20owe%20to%20one%20anoth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16</cp:revision>
  <dcterms:created xsi:type="dcterms:W3CDTF">2021-04-30T10:16:00Z</dcterms:created>
  <dcterms:modified xsi:type="dcterms:W3CDTF">2021-05-01T18:45:00Z</dcterms:modified>
</cp:coreProperties>
</file>